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81CB" w14:textId="77777777" w:rsidR="007C4E0B" w:rsidRPr="00B604F7" w:rsidRDefault="007C4E0B" w:rsidP="007C4E0B">
      <w:pPr>
        <w:pStyle w:val="Heading1"/>
        <w:jc w:val="center"/>
        <w:rPr>
          <w:rFonts w:ascii="Calibri" w:hAnsi="Calibri" w:cs="Calibri"/>
          <w:b/>
          <w:bCs/>
          <w:color w:val="auto"/>
          <w:sz w:val="36"/>
          <w:szCs w:val="36"/>
        </w:rPr>
      </w:pPr>
      <w:r w:rsidRPr="00B604F7">
        <w:rPr>
          <w:rFonts w:ascii="Calibri" w:hAnsi="Calibri" w:cs="Calibri"/>
          <w:b/>
          <w:bCs/>
          <w:color w:val="auto"/>
          <w:sz w:val="36"/>
          <w:szCs w:val="36"/>
        </w:rPr>
        <w:t>Making an Accessible Course at UMW: Getting Started</w:t>
      </w:r>
    </w:p>
    <w:p w14:paraId="13131C25" w14:textId="77777777" w:rsidR="007C4E0B" w:rsidRPr="00B604F7" w:rsidRDefault="007C4E0B" w:rsidP="007C4E0B">
      <w:pPr>
        <w:rPr>
          <w:rFonts w:ascii="Calibri" w:hAnsi="Calibri" w:cs="Calibri"/>
        </w:rPr>
      </w:pPr>
      <w:r w:rsidRPr="00B604F7">
        <w:rPr>
          <w:rFonts w:ascii="Calibri" w:hAnsi="Calibri" w:cs="Calibri"/>
        </w:rPr>
        <w:t>This guide is a high-level overview to aid instructors who are getting started with creating accessible courses.</w:t>
      </w:r>
    </w:p>
    <w:p w14:paraId="5F2B7149" w14:textId="77777777" w:rsidR="007C4E0B" w:rsidRPr="00B604F7" w:rsidRDefault="007C4E0B" w:rsidP="007C4E0B">
      <w:pPr>
        <w:rPr>
          <w:rFonts w:ascii="Calibri" w:hAnsi="Calibri" w:cs="Calibri"/>
        </w:rPr>
      </w:pPr>
      <w:r w:rsidRPr="00B604F7">
        <w:rPr>
          <w:rFonts w:ascii="Calibri" w:hAnsi="Calibri" w:cs="Calibri"/>
        </w:rPr>
        <w:t xml:space="preserve">Guides for learning the essential digital accessibility concepts and digital accessibility in practice can be found on the </w:t>
      </w:r>
      <w:hyperlink r:id="rId5">
        <w:r w:rsidRPr="00B604F7">
          <w:rPr>
            <w:rStyle w:val="Hyperlink"/>
            <w:rFonts w:ascii="Calibri" w:hAnsi="Calibri" w:cs="Calibri"/>
          </w:rPr>
          <w:t>Teaching &amp; Learning Resources Digital Accessibility page</w:t>
        </w:r>
      </w:hyperlink>
      <w:r w:rsidRPr="00B604F7">
        <w:rPr>
          <w:rFonts w:ascii="Calibri" w:hAnsi="Calibri" w:cs="Calibri"/>
        </w:rPr>
        <w:t>.</w:t>
      </w:r>
    </w:p>
    <w:p w14:paraId="20A5E00D" w14:textId="77777777" w:rsidR="007C4E0B" w:rsidRPr="00B604F7" w:rsidRDefault="007C4E0B" w:rsidP="007C4E0B">
      <w:pPr>
        <w:pStyle w:val="Heading2"/>
        <w:spacing w:before="0" w:after="299"/>
        <w:rPr>
          <w:rFonts w:ascii="Calibri" w:eastAsia="Aptos" w:hAnsi="Calibri" w:cs="Calibri"/>
          <w:b/>
          <w:bCs/>
          <w:color w:val="auto"/>
        </w:rPr>
      </w:pPr>
      <w:r w:rsidRPr="00B604F7">
        <w:rPr>
          <w:rFonts w:ascii="Calibri" w:eastAsia="Aptos" w:hAnsi="Calibri" w:cs="Calibri"/>
          <w:b/>
          <w:bCs/>
          <w:color w:val="auto"/>
          <w:sz w:val="28"/>
          <w:szCs w:val="28"/>
        </w:rPr>
        <w:t>1. Course Structure</w:t>
      </w:r>
    </w:p>
    <w:p w14:paraId="16912718" w14:textId="77777777" w:rsidR="007C4E0B" w:rsidRPr="00B604F7" w:rsidRDefault="007C4E0B" w:rsidP="007C4E0B">
      <w:pPr>
        <w:spacing w:before="240" w:after="240"/>
        <w:rPr>
          <w:rFonts w:ascii="Calibri" w:hAnsi="Calibri" w:cs="Calibri"/>
        </w:rPr>
      </w:pPr>
      <w:r w:rsidRPr="00B604F7">
        <w:rPr>
          <w:rFonts w:ascii="Calibri" w:eastAsia="Aptos" w:hAnsi="Calibri" w:cs="Calibri"/>
          <w:b/>
          <w:bCs/>
        </w:rPr>
        <w:t>Goal:</w:t>
      </w:r>
      <w:r w:rsidRPr="00B604F7">
        <w:rPr>
          <w:rFonts w:ascii="Calibri" w:eastAsia="Aptos" w:hAnsi="Calibri" w:cs="Calibri"/>
        </w:rPr>
        <w:t xml:space="preserve"> Students can navigate and find information for their course.</w:t>
      </w:r>
    </w:p>
    <w:p w14:paraId="59958B6D" w14:textId="77777777" w:rsidR="007C4E0B" w:rsidRPr="00B604F7" w:rsidRDefault="007C4E0B" w:rsidP="007C4E0B">
      <w:pPr>
        <w:pStyle w:val="ListParagraph"/>
        <w:numPr>
          <w:ilvl w:val="0"/>
          <w:numId w:val="4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Course Navigation has been customized to remove or add links so that only links that are necessary for the course are visible to students. Here is a </w:t>
      </w:r>
      <w:hyperlink r:id="rId6">
        <w:r w:rsidRPr="00B604F7">
          <w:rPr>
            <w:rStyle w:val="Hyperlink"/>
            <w:rFonts w:ascii="Calibri" w:eastAsia="Aptos" w:hAnsi="Calibri" w:cs="Calibri"/>
          </w:rPr>
          <w:t>guide on how manage your course links</w:t>
        </w:r>
      </w:hyperlink>
      <w:r w:rsidRPr="00B604F7">
        <w:rPr>
          <w:rFonts w:ascii="Calibri" w:eastAsia="Aptos" w:hAnsi="Calibri" w:cs="Calibri"/>
        </w:rPr>
        <w:t xml:space="preserve">. </w:t>
      </w:r>
    </w:p>
    <w:p w14:paraId="5912A7EB" w14:textId="77777777" w:rsidR="007C4E0B" w:rsidRPr="00B604F7" w:rsidRDefault="007C4E0B" w:rsidP="007C4E0B">
      <w:pPr>
        <w:pStyle w:val="ListParagraph"/>
        <w:numPr>
          <w:ilvl w:val="0"/>
          <w:numId w:val="4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>Course uses a structure that is predictable, consistent, and organized (modules, clear naming, logical order).</w:t>
      </w:r>
    </w:p>
    <w:p w14:paraId="3BC0BB9C" w14:textId="77777777" w:rsidR="007C4E0B" w:rsidRPr="00B604F7" w:rsidRDefault="007C4E0B" w:rsidP="007C4E0B">
      <w:pPr>
        <w:pStyle w:val="Heading2"/>
        <w:spacing w:before="0" w:after="299"/>
        <w:rPr>
          <w:rFonts w:ascii="Calibri" w:eastAsia="Aptos" w:hAnsi="Calibri" w:cs="Calibri"/>
          <w:b/>
          <w:bCs/>
          <w:color w:val="auto"/>
        </w:rPr>
      </w:pPr>
      <w:r w:rsidRPr="00B604F7">
        <w:rPr>
          <w:rFonts w:ascii="Calibri" w:eastAsia="Aptos" w:hAnsi="Calibri" w:cs="Calibri"/>
          <w:b/>
          <w:bCs/>
          <w:color w:val="auto"/>
          <w:sz w:val="28"/>
          <w:szCs w:val="28"/>
        </w:rPr>
        <w:t>2. Course Materials</w:t>
      </w:r>
    </w:p>
    <w:p w14:paraId="6BEA3652" w14:textId="77777777" w:rsidR="007C4E0B" w:rsidRPr="00B604F7" w:rsidRDefault="007C4E0B" w:rsidP="007C4E0B">
      <w:pPr>
        <w:spacing w:before="240" w:after="240"/>
        <w:rPr>
          <w:rFonts w:ascii="Calibri" w:hAnsi="Calibri" w:cs="Calibri"/>
        </w:rPr>
      </w:pPr>
      <w:r w:rsidRPr="00B604F7">
        <w:rPr>
          <w:rFonts w:ascii="Calibri" w:eastAsia="Aptos" w:hAnsi="Calibri" w:cs="Calibri"/>
          <w:b/>
          <w:bCs/>
        </w:rPr>
        <w:t>Goal:</w:t>
      </w:r>
      <w:r w:rsidRPr="00B604F7">
        <w:rPr>
          <w:rFonts w:ascii="Calibri" w:eastAsia="Aptos" w:hAnsi="Calibri" w:cs="Calibri"/>
        </w:rPr>
        <w:t xml:space="preserve"> Students can perceive and use the content in their course.</w:t>
      </w:r>
    </w:p>
    <w:p w14:paraId="1332E226" w14:textId="77777777" w:rsidR="007C4E0B" w:rsidRPr="00B604F7" w:rsidRDefault="007C4E0B" w:rsidP="007C4E0B">
      <w:pPr>
        <w:pStyle w:val="Heading3"/>
        <w:spacing w:before="281" w:after="281"/>
        <w:rPr>
          <w:rFonts w:ascii="Calibri" w:eastAsia="Aptos" w:hAnsi="Calibri" w:cs="Calibri"/>
          <w:b/>
          <w:bCs/>
          <w:color w:val="auto"/>
          <w:sz w:val="24"/>
          <w:szCs w:val="24"/>
        </w:rPr>
      </w:pPr>
      <w:r w:rsidRPr="00B604F7">
        <w:rPr>
          <w:rFonts w:ascii="Calibri" w:eastAsia="Aptos" w:hAnsi="Calibri" w:cs="Calibri"/>
          <w:b/>
          <w:bCs/>
          <w:color w:val="auto"/>
          <w:sz w:val="24"/>
          <w:szCs w:val="24"/>
        </w:rPr>
        <w:t>Documents &amp; Text</w:t>
      </w:r>
    </w:p>
    <w:p w14:paraId="221A971C" w14:textId="77777777" w:rsidR="007C4E0B" w:rsidRPr="00B604F7" w:rsidRDefault="007C4E0B" w:rsidP="007C4E0B">
      <w:pPr>
        <w:pStyle w:val="ListParagraph"/>
        <w:numPr>
          <w:ilvl w:val="0"/>
          <w:numId w:val="8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Word docs, PowerPoints, Canvas pages, PDFs have been checked with Panorama accessibility checker inside Canvas. See the </w:t>
      </w:r>
      <w:hyperlink r:id="rId7">
        <w:r w:rsidRPr="00B604F7">
          <w:rPr>
            <w:rStyle w:val="Hyperlink"/>
            <w:rFonts w:ascii="Calibri" w:eastAsia="Aptos" w:hAnsi="Calibri" w:cs="Calibri"/>
          </w:rPr>
          <w:t>guide on how to use the Panorama accessibility checker</w:t>
        </w:r>
      </w:hyperlink>
      <w:r w:rsidRPr="00B604F7">
        <w:rPr>
          <w:rFonts w:ascii="Calibri" w:eastAsia="Aptos" w:hAnsi="Calibri" w:cs="Calibri"/>
        </w:rPr>
        <w:t>.</w:t>
      </w:r>
    </w:p>
    <w:p w14:paraId="7123D5B3" w14:textId="77777777" w:rsidR="007C4E0B" w:rsidRPr="00B604F7" w:rsidRDefault="007C4E0B" w:rsidP="007C4E0B">
      <w:pPr>
        <w:pStyle w:val="ListParagraph"/>
        <w:numPr>
          <w:ilvl w:val="1"/>
          <w:numId w:val="8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Before remediating PDFs, review </w:t>
      </w:r>
      <w:hyperlink r:id="rId8" w:anchor="0-toc-title">
        <w:r w:rsidRPr="00B604F7">
          <w:rPr>
            <w:rStyle w:val="Hyperlink"/>
            <w:rFonts w:ascii="Calibri" w:eastAsia="Aptos" w:hAnsi="Calibri" w:cs="Calibri"/>
          </w:rPr>
          <w:t>Accessible PDF guidelines</w:t>
        </w:r>
      </w:hyperlink>
      <w:r w:rsidRPr="00B604F7">
        <w:rPr>
          <w:rFonts w:ascii="Calibri" w:eastAsia="Aptos" w:hAnsi="Calibri" w:cs="Calibri"/>
        </w:rPr>
        <w:t>.</w:t>
      </w:r>
    </w:p>
    <w:p w14:paraId="06CA2DA4" w14:textId="77777777" w:rsidR="007C4E0B" w:rsidRPr="00B604F7" w:rsidRDefault="007C4E0B" w:rsidP="007C4E0B">
      <w:pPr>
        <w:pStyle w:val="Heading3"/>
        <w:spacing w:before="281" w:after="281"/>
        <w:rPr>
          <w:rFonts w:ascii="Calibri" w:eastAsia="Aptos" w:hAnsi="Calibri" w:cs="Calibri"/>
          <w:b/>
          <w:bCs/>
          <w:color w:val="auto"/>
          <w:sz w:val="24"/>
          <w:szCs w:val="24"/>
        </w:rPr>
      </w:pPr>
      <w:r w:rsidRPr="00B604F7">
        <w:rPr>
          <w:rFonts w:ascii="Calibri" w:eastAsia="Aptos" w:hAnsi="Calibri" w:cs="Calibri"/>
          <w:b/>
          <w:bCs/>
          <w:color w:val="auto"/>
          <w:sz w:val="24"/>
          <w:szCs w:val="24"/>
        </w:rPr>
        <w:t>Images &amp; Visual Media</w:t>
      </w:r>
    </w:p>
    <w:p w14:paraId="15459890" w14:textId="77777777" w:rsidR="007C4E0B" w:rsidRPr="00B604F7" w:rsidRDefault="007C4E0B" w:rsidP="007C4E0B">
      <w:pPr>
        <w:pStyle w:val="ListParagraph"/>
        <w:numPr>
          <w:ilvl w:val="0"/>
          <w:numId w:val="5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Images that are essential to understanding include </w:t>
      </w:r>
      <w:hyperlink r:id="rId9">
        <w:r w:rsidRPr="00B604F7">
          <w:rPr>
            <w:rStyle w:val="Hyperlink"/>
            <w:rFonts w:ascii="Calibri" w:eastAsia="Aptos" w:hAnsi="Calibri" w:cs="Calibri"/>
          </w:rPr>
          <w:t>alt text</w:t>
        </w:r>
      </w:hyperlink>
      <w:r w:rsidRPr="00B604F7">
        <w:rPr>
          <w:rFonts w:ascii="Calibri" w:eastAsia="Aptos" w:hAnsi="Calibri" w:cs="Calibri"/>
        </w:rPr>
        <w:t>.</w:t>
      </w:r>
    </w:p>
    <w:p w14:paraId="29FA97B1" w14:textId="77777777" w:rsidR="007C4E0B" w:rsidRPr="00B604F7" w:rsidRDefault="007C4E0B" w:rsidP="007C4E0B">
      <w:pPr>
        <w:pStyle w:val="ListParagraph"/>
        <w:numPr>
          <w:ilvl w:val="0"/>
          <w:numId w:val="5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>Complex graphics (charts, infographics) include descriptions or alternative explanations.</w:t>
      </w:r>
    </w:p>
    <w:p w14:paraId="0D9A30CE" w14:textId="77777777" w:rsidR="007C4E0B" w:rsidRPr="00B604F7" w:rsidRDefault="007C4E0B" w:rsidP="007C4E0B">
      <w:pPr>
        <w:pStyle w:val="Heading3"/>
        <w:spacing w:before="281" w:after="281"/>
        <w:rPr>
          <w:rFonts w:ascii="Calibri" w:eastAsia="Aptos" w:hAnsi="Calibri" w:cs="Calibri"/>
          <w:b/>
          <w:bCs/>
          <w:color w:val="auto"/>
          <w:sz w:val="24"/>
          <w:szCs w:val="24"/>
        </w:rPr>
      </w:pPr>
      <w:r w:rsidRPr="00B604F7">
        <w:rPr>
          <w:rFonts w:ascii="Calibri" w:eastAsia="Aptos" w:hAnsi="Calibri" w:cs="Calibri"/>
          <w:b/>
          <w:bCs/>
          <w:color w:val="auto"/>
          <w:sz w:val="24"/>
          <w:szCs w:val="24"/>
        </w:rPr>
        <w:t>Video &amp; Audio</w:t>
      </w:r>
    </w:p>
    <w:p w14:paraId="6F4EF798" w14:textId="77777777" w:rsidR="007C4E0B" w:rsidRPr="00B604F7" w:rsidRDefault="007C4E0B" w:rsidP="007C4E0B">
      <w:pPr>
        <w:pStyle w:val="ListParagraph"/>
        <w:numPr>
          <w:ilvl w:val="0"/>
          <w:numId w:val="3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Videos that have multiple speakers identify each speaker in the captions. See the </w:t>
      </w:r>
      <w:hyperlink r:id="rId10">
        <w:r w:rsidRPr="00B604F7">
          <w:rPr>
            <w:rStyle w:val="Hyperlink"/>
            <w:rFonts w:ascii="Calibri" w:eastAsia="Aptos" w:hAnsi="Calibri" w:cs="Calibri"/>
          </w:rPr>
          <w:t>guide on Accessible Recorded Presentations and Videos</w:t>
        </w:r>
      </w:hyperlink>
      <w:r w:rsidRPr="00B604F7">
        <w:rPr>
          <w:rFonts w:ascii="Calibri" w:eastAsia="Aptos" w:hAnsi="Calibri" w:cs="Calibri"/>
        </w:rPr>
        <w:t xml:space="preserve"> for further guidance on video content.</w:t>
      </w:r>
    </w:p>
    <w:p w14:paraId="437D7B3A" w14:textId="77777777" w:rsidR="007C4E0B" w:rsidRPr="00B604F7" w:rsidRDefault="007C4E0B" w:rsidP="007C4E0B">
      <w:pPr>
        <w:pStyle w:val="ListParagraph"/>
        <w:numPr>
          <w:ilvl w:val="0"/>
          <w:numId w:val="3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Auto-generated captions are reviewed for accuracy. </w:t>
      </w:r>
    </w:p>
    <w:p w14:paraId="3FED4766" w14:textId="77777777" w:rsidR="007C4E0B" w:rsidRPr="00B604F7" w:rsidRDefault="007C4E0B" w:rsidP="007C4E0B">
      <w:pPr>
        <w:pStyle w:val="ListParagraph"/>
        <w:numPr>
          <w:ilvl w:val="0"/>
          <w:numId w:val="3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Video has </w:t>
      </w:r>
      <w:hyperlink r:id="rId11" w:anchor="4-toc-title">
        <w:r w:rsidRPr="00B604F7">
          <w:rPr>
            <w:rStyle w:val="Hyperlink"/>
            <w:rFonts w:ascii="Calibri" w:eastAsia="Aptos" w:hAnsi="Calibri" w:cs="Calibri"/>
          </w:rPr>
          <w:t>audio description</w:t>
        </w:r>
      </w:hyperlink>
      <w:r w:rsidRPr="00B604F7">
        <w:rPr>
          <w:rFonts w:ascii="Calibri" w:eastAsia="Aptos" w:hAnsi="Calibri" w:cs="Calibri"/>
        </w:rPr>
        <w:t xml:space="preserve"> if visuals are essential to understanding.</w:t>
      </w:r>
    </w:p>
    <w:p w14:paraId="0CD8DA0B" w14:textId="77777777" w:rsidR="007C4E0B" w:rsidRPr="00B604F7" w:rsidRDefault="007C4E0B" w:rsidP="007C4E0B">
      <w:pPr>
        <w:pStyle w:val="ListParagraph"/>
        <w:numPr>
          <w:ilvl w:val="0"/>
          <w:numId w:val="3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lastRenderedPageBreak/>
        <w:t xml:space="preserve">Audio-only content has transcripts. See the </w:t>
      </w:r>
      <w:hyperlink r:id="rId12">
        <w:r w:rsidRPr="00B604F7">
          <w:rPr>
            <w:rStyle w:val="Hyperlink"/>
            <w:rFonts w:ascii="Calibri" w:eastAsia="Aptos" w:hAnsi="Calibri" w:cs="Calibri"/>
          </w:rPr>
          <w:t>guide on Accessible Audio Recordings</w:t>
        </w:r>
      </w:hyperlink>
      <w:r w:rsidRPr="00B604F7">
        <w:rPr>
          <w:rFonts w:ascii="Calibri" w:eastAsia="Aptos" w:hAnsi="Calibri" w:cs="Calibri"/>
        </w:rPr>
        <w:t xml:space="preserve"> for further guidance. </w:t>
      </w:r>
    </w:p>
    <w:p w14:paraId="76317E22" w14:textId="77777777" w:rsidR="007C4E0B" w:rsidRPr="00B604F7" w:rsidRDefault="007C4E0B" w:rsidP="007C4E0B">
      <w:pPr>
        <w:pStyle w:val="Heading3"/>
        <w:rPr>
          <w:rFonts w:ascii="Calibri" w:hAnsi="Calibri" w:cs="Calibri"/>
        </w:rPr>
      </w:pPr>
      <w:r w:rsidRPr="00B604F7">
        <w:rPr>
          <w:rFonts w:ascii="Calibri" w:hAnsi="Calibri" w:cs="Calibri"/>
          <w:b/>
          <w:bCs/>
          <w:color w:val="auto"/>
          <w:sz w:val="24"/>
          <w:szCs w:val="24"/>
        </w:rPr>
        <w:t>Course Textbooks</w:t>
      </w:r>
    </w:p>
    <w:p w14:paraId="63C0C9A6" w14:textId="77777777" w:rsidR="007C4E0B" w:rsidRPr="00B604F7" w:rsidRDefault="007C4E0B" w:rsidP="007C4E0B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B604F7">
        <w:rPr>
          <w:rFonts w:ascii="Calibri" w:hAnsi="Calibri" w:cs="Calibri"/>
        </w:rPr>
        <w:t>The bookstore and/or book publisher reps have certified that their digital textbooks and resources meet the Title II WCAG 2.1 AA requirements</w:t>
      </w:r>
    </w:p>
    <w:p w14:paraId="7604C356" w14:textId="77777777" w:rsidR="007C4E0B" w:rsidRPr="00B604F7" w:rsidRDefault="007C4E0B" w:rsidP="007C4E0B">
      <w:pPr>
        <w:pStyle w:val="Heading2"/>
        <w:spacing w:before="299" w:after="299"/>
        <w:rPr>
          <w:rFonts w:ascii="Calibri" w:eastAsia="Aptos" w:hAnsi="Calibri" w:cs="Calibri"/>
          <w:b/>
          <w:bCs/>
          <w:color w:val="auto"/>
          <w:sz w:val="28"/>
          <w:szCs w:val="28"/>
        </w:rPr>
      </w:pPr>
      <w:r w:rsidRPr="00B604F7">
        <w:rPr>
          <w:rFonts w:ascii="Calibri" w:eastAsia="Aptos" w:hAnsi="Calibri" w:cs="Calibri"/>
          <w:b/>
          <w:bCs/>
          <w:color w:val="auto"/>
          <w:sz w:val="28"/>
          <w:szCs w:val="28"/>
        </w:rPr>
        <w:t>3. Interaction &amp; Participation</w:t>
      </w:r>
    </w:p>
    <w:p w14:paraId="2FC6B8DF" w14:textId="77777777" w:rsidR="007C4E0B" w:rsidRPr="00B604F7" w:rsidRDefault="007C4E0B" w:rsidP="007C4E0B">
      <w:pPr>
        <w:spacing w:before="240" w:after="240"/>
        <w:rPr>
          <w:rFonts w:ascii="Calibri" w:hAnsi="Calibri" w:cs="Calibri"/>
        </w:rPr>
      </w:pPr>
      <w:r w:rsidRPr="00B604F7">
        <w:rPr>
          <w:rFonts w:ascii="Calibri" w:eastAsia="Aptos" w:hAnsi="Calibri" w:cs="Calibri"/>
          <w:b/>
          <w:bCs/>
        </w:rPr>
        <w:t>Goal:</w:t>
      </w:r>
      <w:r w:rsidRPr="00B604F7">
        <w:rPr>
          <w:rFonts w:ascii="Calibri" w:eastAsia="Aptos" w:hAnsi="Calibri" w:cs="Calibri"/>
        </w:rPr>
        <w:t xml:space="preserve"> All students can engage in class activities equitably.</w:t>
      </w:r>
    </w:p>
    <w:p w14:paraId="75AF1BF3" w14:textId="77777777" w:rsidR="007C4E0B" w:rsidRPr="00B604F7" w:rsidRDefault="007C4E0B" w:rsidP="007C4E0B">
      <w:pPr>
        <w:pStyle w:val="ListParagraph"/>
        <w:numPr>
          <w:ilvl w:val="0"/>
          <w:numId w:val="1"/>
        </w:numPr>
        <w:spacing w:before="240" w:after="240"/>
        <w:rPr>
          <w:rFonts w:ascii="Calibri" w:hAnsi="Calibri" w:cs="Calibri"/>
        </w:rPr>
      </w:pPr>
      <w:r w:rsidRPr="00B604F7">
        <w:rPr>
          <w:rFonts w:ascii="Calibri" w:hAnsi="Calibri" w:cs="Calibri"/>
        </w:rPr>
        <w:t>Communication channels (email, LMS messages, announcements) are accessible.</w:t>
      </w:r>
    </w:p>
    <w:p w14:paraId="59D02A6B" w14:textId="77777777" w:rsidR="007C4E0B" w:rsidRPr="00B604F7" w:rsidRDefault="007C4E0B" w:rsidP="007C4E0B">
      <w:pPr>
        <w:pStyle w:val="ListParagraph"/>
        <w:numPr>
          <w:ilvl w:val="0"/>
          <w:numId w:val="1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>Collaboration tools (</w:t>
      </w:r>
      <w:proofErr w:type="gramStart"/>
      <w:r w:rsidRPr="00B604F7">
        <w:rPr>
          <w:rFonts w:ascii="Calibri" w:eastAsia="Aptos" w:hAnsi="Calibri" w:cs="Calibri"/>
        </w:rPr>
        <w:t>e.g.</w:t>
      </w:r>
      <w:proofErr w:type="gramEnd"/>
      <w:r w:rsidRPr="00B604F7">
        <w:rPr>
          <w:rFonts w:ascii="Calibri" w:eastAsia="Aptos" w:hAnsi="Calibri" w:cs="Calibri"/>
        </w:rPr>
        <w:t xml:space="preserve"> Word, Google docs, wikis, discussion boards) and content made available in those tools are accessible.</w:t>
      </w:r>
    </w:p>
    <w:p w14:paraId="21F82F80" w14:textId="77777777" w:rsidR="007C4E0B" w:rsidRPr="00B604F7" w:rsidRDefault="007C4E0B" w:rsidP="007C4E0B">
      <w:pPr>
        <w:pStyle w:val="ListParagraph"/>
        <w:numPr>
          <w:ilvl w:val="0"/>
          <w:numId w:val="1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>Live virtual sessions use accessible practices (captioning options, clear verbal descriptions, readable slides).</w:t>
      </w:r>
    </w:p>
    <w:p w14:paraId="4943192A" w14:textId="77777777" w:rsidR="007C4E0B" w:rsidRPr="00B604F7" w:rsidRDefault="007C4E0B" w:rsidP="007C4E0B">
      <w:pPr>
        <w:pStyle w:val="ListParagraph"/>
        <w:numPr>
          <w:ilvl w:val="0"/>
          <w:numId w:val="1"/>
        </w:numPr>
        <w:spacing w:before="240" w:after="240"/>
        <w:rPr>
          <w:rFonts w:ascii="Calibri" w:hAnsi="Calibri" w:cs="Calibri"/>
        </w:rPr>
      </w:pPr>
      <w:r w:rsidRPr="00B604F7">
        <w:rPr>
          <w:rFonts w:ascii="Calibri" w:hAnsi="Calibri" w:cs="Calibri"/>
        </w:rPr>
        <w:t>Group work expectations account for accessibility needs (students are making their work accessible).</w:t>
      </w:r>
    </w:p>
    <w:p w14:paraId="2E294E07" w14:textId="77777777" w:rsidR="007C4E0B" w:rsidRPr="00B604F7" w:rsidRDefault="007C4E0B" w:rsidP="007C4E0B">
      <w:pPr>
        <w:pStyle w:val="Heading2"/>
        <w:rPr>
          <w:rFonts w:ascii="Calibri" w:hAnsi="Calibri" w:cs="Calibri"/>
          <w:b/>
          <w:bCs/>
          <w:color w:val="auto"/>
          <w:sz w:val="24"/>
          <w:szCs w:val="24"/>
        </w:rPr>
      </w:pPr>
      <w:r w:rsidRPr="00B604F7">
        <w:rPr>
          <w:rFonts w:ascii="Calibri" w:hAnsi="Calibri" w:cs="Calibri"/>
          <w:b/>
          <w:bCs/>
          <w:color w:val="auto"/>
          <w:sz w:val="28"/>
          <w:szCs w:val="28"/>
        </w:rPr>
        <w:t>4. Evaluation &amp; Assessment</w:t>
      </w:r>
    </w:p>
    <w:p w14:paraId="01A3405B" w14:textId="77777777" w:rsidR="007C4E0B" w:rsidRPr="00B604F7" w:rsidRDefault="007C4E0B" w:rsidP="007C4E0B">
      <w:pPr>
        <w:spacing w:before="240" w:after="240"/>
        <w:rPr>
          <w:rFonts w:ascii="Calibri" w:hAnsi="Calibri" w:cs="Calibri"/>
        </w:rPr>
      </w:pPr>
      <w:r w:rsidRPr="00B604F7">
        <w:rPr>
          <w:rFonts w:ascii="Calibri" w:eastAsia="Aptos" w:hAnsi="Calibri" w:cs="Calibri"/>
          <w:b/>
          <w:bCs/>
        </w:rPr>
        <w:t>Goal:</w:t>
      </w:r>
      <w:r w:rsidRPr="00B604F7">
        <w:rPr>
          <w:rFonts w:ascii="Calibri" w:eastAsia="Aptos" w:hAnsi="Calibri" w:cs="Calibri"/>
        </w:rPr>
        <w:t xml:space="preserve"> All students can demonstrate learning without accessibility barriers.</w:t>
      </w:r>
    </w:p>
    <w:p w14:paraId="6EE8A66B" w14:textId="77777777" w:rsidR="007C4E0B" w:rsidRPr="00B604F7" w:rsidRDefault="007C4E0B" w:rsidP="007C4E0B">
      <w:pPr>
        <w:pStyle w:val="ListParagraph"/>
        <w:numPr>
          <w:ilvl w:val="0"/>
          <w:numId w:val="6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>Online quizzes are accessible.</w:t>
      </w:r>
    </w:p>
    <w:p w14:paraId="6E453C06" w14:textId="77777777" w:rsidR="007C4E0B" w:rsidRPr="00B604F7" w:rsidRDefault="007C4E0B" w:rsidP="007C4E0B">
      <w:pPr>
        <w:pStyle w:val="ListParagraph"/>
        <w:numPr>
          <w:ilvl w:val="1"/>
          <w:numId w:val="6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 xml:space="preserve">Note: Currently Panorama is very limited in what it can check inside Canvas Quizzes. Faculty should review their quizzes manually to ensure that they are practicing </w:t>
      </w:r>
      <w:hyperlink r:id="rId13">
        <w:r w:rsidRPr="00B604F7">
          <w:rPr>
            <w:rStyle w:val="Hyperlink"/>
            <w:rFonts w:ascii="Calibri" w:eastAsia="Aptos" w:hAnsi="Calibri" w:cs="Calibri"/>
          </w:rPr>
          <w:t>digital accessibility concepts</w:t>
        </w:r>
      </w:hyperlink>
      <w:r w:rsidRPr="00B604F7">
        <w:rPr>
          <w:rFonts w:ascii="Calibri" w:eastAsia="Aptos" w:hAnsi="Calibri" w:cs="Calibri"/>
        </w:rPr>
        <w:t>.</w:t>
      </w:r>
    </w:p>
    <w:p w14:paraId="711C9FCC" w14:textId="77777777" w:rsidR="007C4E0B" w:rsidRPr="00B604F7" w:rsidRDefault="007C4E0B" w:rsidP="007C4E0B">
      <w:pPr>
        <w:pStyle w:val="ListParagraph"/>
        <w:numPr>
          <w:ilvl w:val="0"/>
          <w:numId w:val="6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>Assignment instructions are clear, structured, and available in text format.</w:t>
      </w:r>
    </w:p>
    <w:p w14:paraId="722B4B6B" w14:textId="77777777" w:rsidR="007C4E0B" w:rsidRPr="00B604F7" w:rsidRDefault="007C4E0B" w:rsidP="007C4E0B">
      <w:pPr>
        <w:pStyle w:val="Heading2"/>
        <w:spacing w:before="299" w:after="299"/>
        <w:rPr>
          <w:rFonts w:ascii="Calibri" w:hAnsi="Calibri" w:cs="Calibri"/>
        </w:rPr>
      </w:pPr>
      <w:r w:rsidRPr="00B604F7">
        <w:rPr>
          <w:rFonts w:ascii="Calibri" w:eastAsia="Aptos" w:hAnsi="Calibri" w:cs="Calibri"/>
          <w:b/>
          <w:bCs/>
          <w:color w:val="auto"/>
          <w:sz w:val="28"/>
          <w:szCs w:val="28"/>
        </w:rPr>
        <w:t>5. Technology</w:t>
      </w:r>
    </w:p>
    <w:p w14:paraId="01F940E2" w14:textId="77777777" w:rsidR="007C4E0B" w:rsidRPr="00B604F7" w:rsidRDefault="007C4E0B" w:rsidP="007C4E0B">
      <w:pPr>
        <w:rPr>
          <w:rFonts w:ascii="Calibri" w:hAnsi="Calibri" w:cs="Calibri"/>
        </w:rPr>
      </w:pPr>
      <w:r w:rsidRPr="00B604F7">
        <w:rPr>
          <w:rFonts w:ascii="Calibri" w:hAnsi="Calibri" w:cs="Calibri"/>
          <w:b/>
          <w:bCs/>
        </w:rPr>
        <w:t>Goal:</w:t>
      </w:r>
      <w:r w:rsidRPr="00B604F7">
        <w:rPr>
          <w:rFonts w:ascii="Calibri" w:hAnsi="Calibri" w:cs="Calibri"/>
        </w:rPr>
        <w:t xml:space="preserve"> All students can access and use course technologies without barriers.</w:t>
      </w:r>
    </w:p>
    <w:p w14:paraId="523ADF10" w14:textId="77777777" w:rsidR="007C4E0B" w:rsidRPr="00B604F7" w:rsidRDefault="007C4E0B" w:rsidP="007C4E0B">
      <w:pPr>
        <w:pStyle w:val="ListParagraph"/>
        <w:numPr>
          <w:ilvl w:val="0"/>
          <w:numId w:val="2"/>
        </w:numPr>
        <w:spacing w:before="240" w:after="240"/>
        <w:rPr>
          <w:rFonts w:ascii="Calibri" w:eastAsia="Aptos" w:hAnsi="Calibri" w:cs="Calibri"/>
        </w:rPr>
      </w:pPr>
      <w:r w:rsidRPr="00B604F7">
        <w:rPr>
          <w:rFonts w:ascii="Calibri" w:eastAsia="Aptos" w:hAnsi="Calibri" w:cs="Calibri"/>
        </w:rPr>
        <w:t>Required platforms/tools are accessible or have accessible alternatives.</w:t>
      </w:r>
    </w:p>
    <w:p w14:paraId="47C03F48" w14:textId="77777777" w:rsidR="004C5936" w:rsidRPr="00B604F7" w:rsidRDefault="004C5936">
      <w:pPr>
        <w:rPr>
          <w:rFonts w:ascii="Calibri" w:hAnsi="Calibri" w:cs="Calibri"/>
        </w:rPr>
      </w:pPr>
    </w:p>
    <w:sectPr w:rsidR="004C5936" w:rsidRPr="00B604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0CCFF"/>
    <w:multiLevelType w:val="hybridMultilevel"/>
    <w:tmpl w:val="A6E67954"/>
    <w:lvl w:ilvl="0" w:tplc="25DA65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E085DE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FC6BAF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3142FED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EB3E3F9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AE0D0D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BB3A2DA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CAC858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6DCF13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A700D"/>
    <w:multiLevelType w:val="hybridMultilevel"/>
    <w:tmpl w:val="D02821A4"/>
    <w:lvl w:ilvl="0" w:tplc="D50E0B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EAE0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26A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2CF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32D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FAE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3E4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23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20A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BA95"/>
    <w:multiLevelType w:val="hybridMultilevel"/>
    <w:tmpl w:val="44061E38"/>
    <w:lvl w:ilvl="0" w:tplc="8A1CC32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ABE0B2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F4459D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F9245E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0C24D1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DCD2F59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17C8BA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F64A09D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5F61D1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0817B"/>
    <w:multiLevelType w:val="hybridMultilevel"/>
    <w:tmpl w:val="0A52337A"/>
    <w:lvl w:ilvl="0" w:tplc="4FDE653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3D2F29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BB8540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0DA169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890E4EF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866913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170218A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80A32B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6A3CE04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CAA4E"/>
    <w:multiLevelType w:val="hybridMultilevel"/>
    <w:tmpl w:val="B2BE9CA4"/>
    <w:lvl w:ilvl="0" w:tplc="E64EB9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FEC2BA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31CB38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1FF2D33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9E4B07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48B00DF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8E674C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346C5DB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9436769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A897C"/>
    <w:multiLevelType w:val="hybridMultilevel"/>
    <w:tmpl w:val="20441A6C"/>
    <w:lvl w:ilvl="0" w:tplc="F6581F7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B34EEF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E66D87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5D4723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EB606FD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F1420D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11425D2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CCA040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244AA67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10E86"/>
    <w:multiLevelType w:val="hybridMultilevel"/>
    <w:tmpl w:val="9B70BCD4"/>
    <w:lvl w:ilvl="0" w:tplc="C0F610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FBE43D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BC858E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1E841FE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CEECF7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C46BAB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9118A81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936891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82D6E51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8F4A79"/>
    <w:multiLevelType w:val="hybridMultilevel"/>
    <w:tmpl w:val="1610DBD8"/>
    <w:lvl w:ilvl="0" w:tplc="8770487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47C506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E3266F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BE834D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306E4E0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CA696B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5106E1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0B484E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66403E0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0B"/>
    <w:rsid w:val="000B38A0"/>
    <w:rsid w:val="00132741"/>
    <w:rsid w:val="002808C4"/>
    <w:rsid w:val="004C5936"/>
    <w:rsid w:val="004E3A8F"/>
    <w:rsid w:val="007C4E0B"/>
    <w:rsid w:val="00B604F7"/>
    <w:rsid w:val="00EF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9D576"/>
  <w15:chartTrackingRefBased/>
  <w15:docId w15:val="{92400E3D-201F-4326-A772-14EBC47B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E0B"/>
    <w:pPr>
      <w:spacing w:line="279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4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4E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E0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7C4E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7C4E0B"/>
    <w:rPr>
      <w:rFonts w:eastAsiaTheme="majorEastAsia" w:cstheme="majorBidi"/>
      <w:color w:val="2F5496" w:themeColor="accent1" w:themeShade="BF"/>
      <w:sz w:val="28"/>
      <w:szCs w:val="28"/>
      <w:lang w:eastAsia="ja-JP"/>
    </w:rPr>
  </w:style>
  <w:style w:type="paragraph" w:styleId="ListParagraph">
    <w:name w:val="List Paragraph"/>
    <w:basedOn w:val="Normal"/>
    <w:uiPriority w:val="34"/>
    <w:qFormat/>
    <w:rsid w:val="007C4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4E0B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4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4E0B"/>
    <w:rPr>
      <w:rFonts w:eastAsiaTheme="minorEastAsia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C4E0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umw.edu/guides/accessible-pdfs/" TargetMode="External"/><Relationship Id="rId13" Type="http://schemas.openxmlformats.org/officeDocument/2006/relationships/hyperlink" Target="https://learn.umw.edu/accessibili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.umw.edu/guides/panorama/" TargetMode="External"/><Relationship Id="rId12" Type="http://schemas.openxmlformats.org/officeDocument/2006/relationships/hyperlink" Target="https://learn.umw.edu/guides/accessible-audio-recording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unity.instructure.com/en/kb/articles/660741-how-do-i-manage-course-navigation-links" TargetMode="External"/><Relationship Id="rId11" Type="http://schemas.openxmlformats.org/officeDocument/2006/relationships/hyperlink" Target="https://learn.umw.edu/guides/audio-video-digital-accessibility-concepts/" TargetMode="External"/><Relationship Id="rId5" Type="http://schemas.openxmlformats.org/officeDocument/2006/relationships/hyperlink" Target="https://learn.umw.edu/accessibili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earn.umw.edu/guides/accessible-recorded-presentations-and-vide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.umw.edu/guides/alternative-alt-tex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Course Checklist</dc:title>
  <dc:subject/>
  <dc:creator>Shannon Hauser (shauser)</dc:creator>
  <cp:keywords/>
  <dc:description/>
  <cp:lastModifiedBy>Shannon Hauser (shauser)</cp:lastModifiedBy>
  <cp:revision>4</cp:revision>
  <dcterms:created xsi:type="dcterms:W3CDTF">2026-07-30T17:39:00Z</dcterms:created>
  <dcterms:modified xsi:type="dcterms:W3CDTF">2026-07-30T17:50:00Z</dcterms:modified>
</cp:coreProperties>
</file>